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201" w:type="dxa"/>
        <w:tblLayout w:type="fixed"/>
        <w:tblLook w:val="01E0"/>
      </w:tblPr>
      <w:tblGrid>
        <w:gridCol w:w="1133"/>
        <w:gridCol w:w="1020"/>
        <w:gridCol w:w="453"/>
        <w:gridCol w:w="5215"/>
        <w:gridCol w:w="1133"/>
        <w:gridCol w:w="1247"/>
      </w:tblGrid>
      <w:tr w:rsidR="007A2B04">
        <w:trPr>
          <w:trHeight w:val="623"/>
        </w:trPr>
        <w:tc>
          <w:tcPr>
            <w:tcW w:w="10201" w:type="dxa"/>
            <w:gridSpan w:val="6"/>
            <w:vMerge w:val="restart"/>
            <w:vAlign w:val="center"/>
          </w:tcPr>
          <w:p w:rsidR="007A2B04" w:rsidRDefault="0027183A">
            <w:pPr>
              <w:jc w:val="center"/>
            </w:pPr>
            <w:bookmarkStart w:id="0" w:name="__bookmark_1"/>
            <w:bookmarkEnd w:id="0"/>
            <w:r>
              <w:rPr>
                <w:rFonts w:ascii="Arial" w:eastAsia="Arial" w:hAnsi="Arial" w:cs="Arial"/>
                <w:b/>
                <w:bCs/>
                <w:color w:val="000000"/>
              </w:rPr>
              <w:t>ПОЯСНИТЕЛЬНАЯ ЗАПИСКА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br/>
              <w:t>К БАЛАНСУ УЧРЕЖДЕНИЯ</w:t>
            </w:r>
          </w:p>
        </w:tc>
      </w:tr>
      <w:tr w:rsidR="007A2B04">
        <w:tc>
          <w:tcPr>
            <w:tcW w:w="8954" w:type="dxa"/>
            <w:gridSpan w:val="5"/>
            <w:vMerge w:val="restart"/>
            <w:vAlign w:val="bottom"/>
          </w:tcPr>
          <w:p w:rsidR="007A2B04" w:rsidRDefault="007A2B04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7A2B04">
        <w:tc>
          <w:tcPr>
            <w:tcW w:w="8954" w:type="dxa"/>
            <w:gridSpan w:val="5"/>
            <w:vMerge w:val="restart"/>
            <w:vAlign w:val="bottom"/>
          </w:tcPr>
          <w:p w:rsidR="007A2B04" w:rsidRDefault="0027183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24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0503760</w:t>
            </w:r>
          </w:p>
        </w:tc>
      </w:tr>
      <w:tr w:rsidR="007A2B04">
        <w:tc>
          <w:tcPr>
            <w:tcW w:w="2606" w:type="dxa"/>
            <w:gridSpan w:val="3"/>
            <w:vMerge w:val="restart"/>
            <w:vAlign w:val="bottom"/>
          </w:tcPr>
          <w:p w:rsidR="007A2B04" w:rsidRDefault="007A2B04"/>
        </w:tc>
        <w:tc>
          <w:tcPr>
            <w:tcW w:w="5215" w:type="dxa"/>
            <w:vAlign w:val="bottom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января 2014 г.</w:t>
            </w:r>
          </w:p>
        </w:tc>
        <w:tc>
          <w:tcPr>
            <w:tcW w:w="1133" w:type="dxa"/>
            <w:vAlign w:val="bottom"/>
          </w:tcPr>
          <w:p w:rsidR="007A2B04" w:rsidRDefault="0027183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24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01.01.2014</w:t>
            </w:r>
          </w:p>
        </w:tc>
      </w:tr>
      <w:tr w:rsidR="007A2B04">
        <w:trPr>
          <w:trHeight w:val="680"/>
        </w:trPr>
        <w:tc>
          <w:tcPr>
            <w:tcW w:w="1133" w:type="dxa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Учреждение</w:t>
            </w:r>
          </w:p>
        </w:tc>
        <w:tc>
          <w:tcPr>
            <w:tcW w:w="6688" w:type="dxa"/>
            <w:gridSpan w:val="3"/>
            <w:vMerge w:val="restart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муниципальное дошкольное образовательное учреждение детский сад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общеразвивающего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вида №191</w:t>
            </w:r>
          </w:p>
        </w:tc>
        <w:tc>
          <w:tcPr>
            <w:tcW w:w="1133" w:type="dxa"/>
            <w:vAlign w:val="center"/>
          </w:tcPr>
          <w:p w:rsidR="007A2B04" w:rsidRDefault="0027183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24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21721100</w:t>
            </w:r>
          </w:p>
        </w:tc>
      </w:tr>
      <w:tr w:rsidR="007A2B04">
        <w:trPr>
          <w:trHeight w:val="510"/>
        </w:trPr>
        <w:tc>
          <w:tcPr>
            <w:tcW w:w="2606" w:type="dxa"/>
            <w:gridSpan w:val="3"/>
            <w:vMerge w:val="restart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Обособленное подразделение</w:t>
            </w:r>
          </w:p>
        </w:tc>
        <w:tc>
          <w:tcPr>
            <w:tcW w:w="5215" w:type="dxa"/>
          </w:tcPr>
          <w:p w:rsidR="007A2B04" w:rsidRDefault="007A2B04"/>
        </w:tc>
        <w:tc>
          <w:tcPr>
            <w:tcW w:w="1133" w:type="dxa"/>
            <w:vAlign w:val="bottom"/>
          </w:tcPr>
          <w:p w:rsidR="007A2B04" w:rsidRDefault="007A2B04">
            <w:pPr>
              <w:jc w:val="right"/>
            </w:pPr>
          </w:p>
        </w:tc>
        <w:tc>
          <w:tcPr>
            <w:tcW w:w="124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7A2B04" w:rsidRDefault="007A2B04">
            <w:pPr>
              <w:jc w:val="center"/>
            </w:pPr>
          </w:p>
        </w:tc>
      </w:tr>
      <w:tr w:rsidR="007A2B04">
        <w:trPr>
          <w:trHeight w:val="510"/>
        </w:trPr>
        <w:tc>
          <w:tcPr>
            <w:tcW w:w="1133" w:type="dxa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Учредитель</w:t>
            </w:r>
          </w:p>
        </w:tc>
        <w:tc>
          <w:tcPr>
            <w:tcW w:w="6688" w:type="dxa"/>
            <w:gridSpan w:val="3"/>
            <w:vMerge w:val="restart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Свод - Департамент образования мэрии города Ярославля</w:t>
            </w:r>
          </w:p>
        </w:tc>
        <w:tc>
          <w:tcPr>
            <w:tcW w:w="1133" w:type="dxa"/>
          </w:tcPr>
          <w:p w:rsidR="007A2B04" w:rsidRDefault="0027183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 ОКАТО</w:t>
            </w:r>
          </w:p>
        </w:tc>
        <w:tc>
          <w:tcPr>
            <w:tcW w:w="124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78401000</w:t>
            </w:r>
          </w:p>
        </w:tc>
      </w:tr>
      <w:tr w:rsidR="007A2B04">
        <w:tc>
          <w:tcPr>
            <w:tcW w:w="2153" w:type="dxa"/>
            <w:gridSpan w:val="2"/>
            <w:vMerge w:val="restart"/>
            <w:vAlign w:val="bottom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Наименование органа,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осуществляющего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полномочия учредителя</w:t>
            </w:r>
          </w:p>
        </w:tc>
        <w:tc>
          <w:tcPr>
            <w:tcW w:w="5668" w:type="dxa"/>
            <w:gridSpan w:val="2"/>
            <w:vMerge w:val="restart"/>
            <w:vAlign w:val="bottom"/>
          </w:tcPr>
          <w:p w:rsidR="007A2B04" w:rsidRDefault="007A2B04"/>
        </w:tc>
        <w:tc>
          <w:tcPr>
            <w:tcW w:w="1133" w:type="dxa"/>
            <w:vAlign w:val="bottom"/>
          </w:tcPr>
          <w:p w:rsidR="007A2B04" w:rsidRDefault="007A2B04">
            <w:pPr>
              <w:jc w:val="right"/>
            </w:pPr>
          </w:p>
        </w:tc>
        <w:tc>
          <w:tcPr>
            <w:tcW w:w="124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7A2B04" w:rsidRDefault="007A2B04">
            <w:pPr>
              <w:jc w:val="center"/>
            </w:pPr>
          </w:p>
        </w:tc>
      </w:tr>
      <w:tr w:rsidR="007A2B04">
        <w:tc>
          <w:tcPr>
            <w:tcW w:w="2153" w:type="dxa"/>
            <w:gridSpan w:val="2"/>
            <w:vMerge/>
            <w:vAlign w:val="bottom"/>
          </w:tcPr>
          <w:p w:rsidR="007A2B04" w:rsidRDefault="007A2B04"/>
        </w:tc>
        <w:tc>
          <w:tcPr>
            <w:tcW w:w="5668" w:type="dxa"/>
            <w:gridSpan w:val="2"/>
            <w:vMerge/>
            <w:vAlign w:val="bottom"/>
          </w:tcPr>
          <w:p w:rsidR="007A2B04" w:rsidRDefault="007A2B04"/>
        </w:tc>
        <w:tc>
          <w:tcPr>
            <w:tcW w:w="1133" w:type="dxa"/>
            <w:vAlign w:val="bottom"/>
          </w:tcPr>
          <w:p w:rsidR="007A2B04" w:rsidRDefault="0027183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24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02119231</w:t>
            </w:r>
          </w:p>
        </w:tc>
      </w:tr>
      <w:tr w:rsidR="007A2B04">
        <w:tc>
          <w:tcPr>
            <w:tcW w:w="2153" w:type="dxa"/>
            <w:gridSpan w:val="2"/>
            <w:vMerge/>
            <w:vAlign w:val="bottom"/>
          </w:tcPr>
          <w:p w:rsidR="007A2B04" w:rsidRDefault="007A2B04"/>
        </w:tc>
        <w:tc>
          <w:tcPr>
            <w:tcW w:w="5668" w:type="dxa"/>
            <w:gridSpan w:val="2"/>
            <w:vMerge/>
            <w:vAlign w:val="bottom"/>
          </w:tcPr>
          <w:p w:rsidR="007A2B04" w:rsidRDefault="007A2B04"/>
        </w:tc>
        <w:tc>
          <w:tcPr>
            <w:tcW w:w="1133" w:type="dxa"/>
            <w:vAlign w:val="center"/>
          </w:tcPr>
          <w:p w:rsidR="007A2B04" w:rsidRDefault="0027183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24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803</w:t>
            </w:r>
          </w:p>
        </w:tc>
      </w:tr>
      <w:tr w:rsidR="007A2B04">
        <w:tc>
          <w:tcPr>
            <w:tcW w:w="7821" w:type="dxa"/>
            <w:gridSpan w:val="4"/>
            <w:vMerge w:val="restart"/>
            <w:vAlign w:val="bottom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Периодичность: годовая</w:t>
            </w:r>
          </w:p>
        </w:tc>
        <w:tc>
          <w:tcPr>
            <w:tcW w:w="1133" w:type="dxa"/>
            <w:vAlign w:val="bottom"/>
          </w:tcPr>
          <w:p w:rsidR="007A2B04" w:rsidRDefault="007A2B04">
            <w:pPr>
              <w:jc w:val="right"/>
            </w:pPr>
          </w:p>
        </w:tc>
        <w:tc>
          <w:tcPr>
            <w:tcW w:w="124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7A2B04" w:rsidRDefault="007A2B04">
            <w:pPr>
              <w:jc w:val="center"/>
            </w:pPr>
          </w:p>
        </w:tc>
      </w:tr>
      <w:tr w:rsidR="007A2B04">
        <w:tc>
          <w:tcPr>
            <w:tcW w:w="7821" w:type="dxa"/>
            <w:gridSpan w:val="4"/>
            <w:vMerge w:val="restart"/>
            <w:vAlign w:val="bottom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Единица измерения: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3" w:type="dxa"/>
            <w:vAlign w:val="bottom"/>
          </w:tcPr>
          <w:p w:rsidR="007A2B04" w:rsidRDefault="0027183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24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7A2B04">
        <w:trPr>
          <w:trHeight w:val="230"/>
        </w:trPr>
        <w:tc>
          <w:tcPr>
            <w:tcW w:w="10201" w:type="dxa"/>
            <w:gridSpan w:val="6"/>
            <w:vMerge w:val="restart"/>
            <w:vAlign w:val="bottom"/>
          </w:tcPr>
          <w:p w:rsidR="007A2B04" w:rsidRDefault="007A2B04"/>
        </w:tc>
      </w:tr>
    </w:tbl>
    <w:p w:rsidR="007A2B04" w:rsidRDefault="007A2B04">
      <w:bookmarkStart w:id="1" w:name="__bookmark_2"/>
      <w:bookmarkEnd w:id="1"/>
    </w:p>
    <w:tbl>
      <w:tblPr>
        <w:tblOverlap w:val="never"/>
        <w:tblW w:w="10314" w:type="dxa"/>
        <w:tblLayout w:type="fixed"/>
        <w:tblLook w:val="01E0"/>
      </w:tblPr>
      <w:tblGrid>
        <w:gridCol w:w="10314"/>
      </w:tblGrid>
      <w:tr w:rsidR="007A2B04">
        <w:trPr>
          <w:trHeight w:val="230"/>
        </w:trPr>
        <w:tc>
          <w:tcPr>
            <w:tcW w:w="10314" w:type="dxa"/>
            <w:vMerge w:val="restart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Общие сведения</w:t>
            </w:r>
          </w:p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Учреждение: муниципальное дошкольное образовательное учреждение детский сад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общеразвивающего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вида № 191. Наименование финансового органа: департамент финансов мэрии города Ярославля. Периодичность: годовая. Единица измерения: руб.</w:t>
            </w:r>
          </w:p>
        </w:tc>
      </w:tr>
      <w:tr w:rsidR="007A2B04">
        <w:trPr>
          <w:trHeight w:val="230"/>
        </w:trPr>
        <w:tc>
          <w:tcPr>
            <w:tcW w:w="10314" w:type="dxa"/>
            <w:vMerge w:val="restart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Раздел 1 «Организационная структура учреждения»</w:t>
            </w:r>
          </w:p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Полное название учреждения: муниципальное дошкольное образовательное учреждение детский сад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общеразвивающего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вида № 191. Сокращенное название учреждения: МДОУ детский сад №191. Местонахождение: 150051, г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рославль, ул.Космонавтов, д.26а. МДОУ детский сад № 191 является юридическим лицом, имеет печать установленного образца, штампы, бланки. Права юридического лица у детского сада в части ведения финансово-хозяйственной деятельности,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направленных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на подготовку образовательного процесса, возникают с момента регистрации. Право на ведение образовательной деятельности и льготы, установленные законодательством РФ, возникают у учреждения с момента выдачи ему лицензии. МДОУ детский сад № 191 проходит аттестацию и государственную аккредитацию в порядке, установленном законом РФ "Об образовании". В МДОУ детский сад № 191 не допускается создание и деятельность организационных структур политических партий, общественно-политических и религиозных движений и организаций. МДОУ детский сад № 191 ведет учет военнообязанных работников своего учреждения. В своей деятельности МДОУ детский сад № 191 руководствуется законодательством РФ, указами и распоряжениями Президента РФ, Постановлениями и распоряжениями Правительства РФ, Типовым положением об образовательном учреждении для детей дошкольного и младшего школьного возраста, нормативными документами органов государственной власти и местного самоуправления, государственных и муниципальных органов департамента образования, действующего Устава учреждения.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МДОУ детский сад № 191 несет в установленном законодательством РФ порядке ответственность за качество общего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психологическим особенностям, склонностям, интересам, требованиям охраны жизни и здоровья общающихся.</w:t>
            </w:r>
            <w:proofErr w:type="gramEnd"/>
          </w:p>
        </w:tc>
      </w:tr>
      <w:tr w:rsidR="007A2B04">
        <w:trPr>
          <w:trHeight w:val="230"/>
        </w:trPr>
        <w:tc>
          <w:tcPr>
            <w:tcW w:w="10314" w:type="dxa"/>
            <w:vMerge w:val="restart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Раздел 2 «Результаты деятельности учреждения»</w:t>
            </w:r>
          </w:p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Количество воспитанников - 262 чел. Образовательный ценз педагогических работников - 89,29% (по МЗ - 70%). Уровень квалификации педагогических кадров - 42,86% (по МЗ - 85%, трудоустроились 5 молодых педагогов). Уровень освоения общеобразовательных программ дошкольного образования и воспитания - 84,5% (по МЗ - 80%). Доля дней проведенных воспитанников в группах по факту - 71,83% (по МЗ - 75%, отпуска родителей, слабое здоровье у воспитанников, закрытие сада на проф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аботы). Доля потребителей готовых к школьному обучению - 100% (по МЗ - 90%). Индекс здоровья - 11,28% (по МЗ - 8%). Заболеваемость - 13,55дн  (по МЗ - 19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дн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.). Количество педагогов,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имеющие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профессиональное образование - 25ч. Количество педагогов, имеющих 1 и высшую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квал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атегорию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- 12. Общее количество педагогов - 28 ч. Средний балл усвоения детьми образовательной программы - 1,69. Максимальный балл усвоения детьми - 2. Количество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детодней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проведенных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детьми по факту в 2013 году - 41016. Количество детей готовых к школе - 29. Общее количество выпускников - 29. Количество детей и разу не болевших 29. Среднесписочное количество детей - 257. Количество дней пропущенных детьми по болезни - 3483. Количество жалоб - 0. Число дней работы учреждения - 243.</w:t>
            </w:r>
          </w:p>
        </w:tc>
      </w:tr>
      <w:tr w:rsidR="007A2B04">
        <w:trPr>
          <w:trHeight w:val="230"/>
        </w:trPr>
        <w:tc>
          <w:tcPr>
            <w:tcW w:w="10314" w:type="dxa"/>
            <w:vMerge w:val="restart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Раздел 3 «Анализ отчета об исполнении учреждением плана его деятельности»</w:t>
            </w:r>
          </w:p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МДОУ детский сад № 191 были предоставлены шесть субсидий на иные цели: Расходы на реализацию ДЦП "Семья и дети" на 2012-2014 годы - использована в полном объеме; Выплаты медицинским работникам, осуществляющим медицинское обслуживание обучающихся и воспитанников муниципальных образовательных учреждений - израсходована не в полном объеме, из-за листов нетрудоспособности медицинских работников; Выплата денежного вознаграждения за выполнение функций классного руководителя педагогическим работникам муниципальных образовательных учреждений - израсходована не в полном объеме, из-за листов нетрудоспособности педагогических работников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работников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изменение типа учреждения (убрали школу); Компенсация расходов на содержание ребенка в дошкольной образовательной организации - использована в полном объеме; Расходы на обеспечение бесплатным питанием обучающихся в общеобразовательных учреждениях (в части средств городского бюджета) - израсходована не в полном объеме, уменьшение потребности из-за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малай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явки учащихся; Расходы на реализацию мероприятий по постановлениям Правительства ЯО - использована в полном объеме, установлены противопожарные двери.</w:t>
            </w:r>
          </w:p>
        </w:tc>
      </w:tr>
      <w:tr w:rsidR="007A2B04">
        <w:trPr>
          <w:trHeight w:val="230"/>
        </w:trPr>
        <w:tc>
          <w:tcPr>
            <w:tcW w:w="10314" w:type="dxa"/>
            <w:vMerge w:val="restart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Раздел 4 «Анализ показателей отчетности учреждения»</w:t>
            </w:r>
          </w:p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 2013 году МДОУ детский сад № 191 получил разрешение на списание ОЦДИ на сумму 12472,67 руб., были приобретены ОС на сумму 1365814,31 руб. и МПЦ на сумму 2256159,72 за счет КФО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были приобретены (в том числе получены пожертвования от родителей) ОС на сумму 14590 руб. и МПЦ на сумму 2790926,18 по КФО2. За счет КФО5 приобретены противопожарные дверные блоки. На лицевых счетах остались неиспользованные денежные средства по КФО2 - 15920,51р. (предоплата за декабрь месяц по родительской плате); КФО4 - 148821,42 (остаток от субсидии на выполнение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мун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.з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адания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по т.с. 04.02.03 (для функционирования начальной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школы-детский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сад), с 01.09.2013г. учреждение сменило тип учреждения на детский сад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общеразвивающего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вида и остаток не разрешили потратить); КФО5 - 14223,47р. (остаток от субсидии на иные цели, уменьшение потребности из-за листов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нетрудоспособности сотрудников, болезни школьников).</w:t>
            </w:r>
          </w:p>
        </w:tc>
      </w:tr>
      <w:tr w:rsidR="007A2B04">
        <w:trPr>
          <w:trHeight w:val="230"/>
        </w:trPr>
        <w:tc>
          <w:tcPr>
            <w:tcW w:w="10314" w:type="dxa"/>
            <w:vMerge w:val="restart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Раздел 5 «Прочие вопросы деятельности учреждения»</w:t>
            </w:r>
          </w:p>
          <w:p w:rsidR="007A2B04" w:rsidRDefault="0027183A"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Учреждением ведется бухгалтерский учет в соответствии с Федеральным законом 06.12.2011 № 402-ФЗ «О бухгалтерском учете», Единым планом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Инструкцией по его применению, утвержденных приказом Минфина РФ от 01.12.2010 №157н, Планом счетов бухгалтерского учета бюджетных учреждений и Инструкцией по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его применению, утвержденным Приказом Минфина РФ от 16.12.2010 № 174н, Федеральным законом от 12.01.1996 № 7-ФЗ «О некоммерческих организациях», Налоговым кодексом РФ в целях формирования полной и достоверной информации о деятельности учреждения и его имущественном положении, правильности исчисления налогов, а также в целях соблюдения учреждением единой методики отражения в бухгалтерском учете и отчетности хозяйственных операций и оценки активов.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При мероприятиях внутреннего контроля и инвентаризации нарушений не выявлено. По результатам внешних контрольных мероприятий всё замечания будут учтены в дальнейшей работе. В 2013 году садику были пожертвованы стулья (сумма 6000,00р.) и МПЗ (сумма 34489,20р.).</w:t>
            </w:r>
          </w:p>
        </w:tc>
      </w:tr>
    </w:tbl>
    <w:p w:rsidR="007A2B04" w:rsidRDefault="007A2B04">
      <w:pPr>
        <w:sectPr w:rsidR="007A2B04">
          <w:headerReference w:type="default" r:id="rId6"/>
          <w:footerReference w:type="default" r:id="rId7"/>
          <w:pgSz w:w="11905" w:h="16837"/>
          <w:pgMar w:top="566" w:right="453" w:bottom="566" w:left="1133" w:header="566" w:footer="566" w:gutter="0"/>
          <w:cols w:space="720"/>
        </w:sectPr>
      </w:pPr>
    </w:p>
    <w:p w:rsidR="007A2B04" w:rsidRDefault="007A2B04"/>
    <w:tbl>
      <w:tblPr>
        <w:tblOverlap w:val="never"/>
        <w:tblW w:w="10316" w:type="dxa"/>
        <w:tblLayout w:type="fixed"/>
        <w:tblLook w:val="01E0"/>
      </w:tblPr>
      <w:tblGrid>
        <w:gridCol w:w="576"/>
        <w:gridCol w:w="1143"/>
        <w:gridCol w:w="1143"/>
        <w:gridCol w:w="1143"/>
        <w:gridCol w:w="1143"/>
        <w:gridCol w:w="2277"/>
        <w:gridCol w:w="576"/>
        <w:gridCol w:w="685"/>
        <w:gridCol w:w="1630"/>
      </w:tblGrid>
      <w:tr w:rsidR="007A2B04">
        <w:trPr>
          <w:trHeight w:val="680"/>
        </w:trPr>
        <w:tc>
          <w:tcPr>
            <w:tcW w:w="10316" w:type="dxa"/>
            <w:gridSpan w:val="9"/>
            <w:vMerge w:val="restart"/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Сведения об основных направлениях деятельности</w:t>
            </w:r>
          </w:p>
        </w:tc>
      </w:tr>
      <w:tr w:rsidR="007A2B04">
        <w:tc>
          <w:tcPr>
            <w:tcW w:w="576" w:type="dxa"/>
            <w:vAlign w:val="center"/>
          </w:tcPr>
          <w:p w:rsidR="007A2B04" w:rsidRDefault="007A2B04"/>
        </w:tc>
        <w:tc>
          <w:tcPr>
            <w:tcW w:w="1143" w:type="dxa"/>
            <w:vAlign w:val="center"/>
          </w:tcPr>
          <w:p w:rsidR="007A2B04" w:rsidRDefault="007A2B04"/>
        </w:tc>
        <w:tc>
          <w:tcPr>
            <w:tcW w:w="1143" w:type="dxa"/>
            <w:vAlign w:val="center"/>
          </w:tcPr>
          <w:p w:rsidR="007A2B04" w:rsidRDefault="007A2B04"/>
        </w:tc>
        <w:tc>
          <w:tcPr>
            <w:tcW w:w="1143" w:type="dxa"/>
            <w:vAlign w:val="center"/>
          </w:tcPr>
          <w:p w:rsidR="007A2B04" w:rsidRDefault="007A2B04"/>
        </w:tc>
        <w:tc>
          <w:tcPr>
            <w:tcW w:w="1143" w:type="dxa"/>
            <w:vAlign w:val="center"/>
          </w:tcPr>
          <w:p w:rsidR="007A2B04" w:rsidRDefault="007A2B04"/>
        </w:tc>
        <w:tc>
          <w:tcPr>
            <w:tcW w:w="2277" w:type="dxa"/>
            <w:vAlign w:val="center"/>
          </w:tcPr>
          <w:p w:rsidR="007A2B04" w:rsidRDefault="007A2B04"/>
        </w:tc>
        <w:tc>
          <w:tcPr>
            <w:tcW w:w="576" w:type="dxa"/>
            <w:vAlign w:val="center"/>
          </w:tcPr>
          <w:p w:rsidR="007A2B04" w:rsidRDefault="007A2B04"/>
        </w:tc>
        <w:tc>
          <w:tcPr>
            <w:tcW w:w="685" w:type="dxa"/>
            <w:vAlign w:val="center"/>
          </w:tcPr>
          <w:p w:rsidR="007A2B04" w:rsidRDefault="007A2B04"/>
        </w:tc>
        <w:tc>
          <w:tcPr>
            <w:tcW w:w="1630" w:type="dxa"/>
          </w:tcPr>
          <w:p w:rsidR="007A2B04" w:rsidRDefault="0027183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Таблица №1</w:t>
            </w:r>
          </w:p>
        </w:tc>
      </w:tr>
    </w:tbl>
    <w:p w:rsidR="007A2B04" w:rsidRDefault="007A2B04">
      <w:bookmarkStart w:id="2" w:name="__bookmark_3"/>
      <w:bookmarkEnd w:id="2"/>
    </w:p>
    <w:tbl>
      <w:tblPr>
        <w:tblOverlap w:val="never"/>
        <w:tblW w:w="10314" w:type="dxa"/>
        <w:tblLayout w:type="fixed"/>
        <w:tblLook w:val="01E0"/>
      </w:tblPr>
      <w:tblGrid>
        <w:gridCol w:w="3438"/>
        <w:gridCol w:w="3438"/>
        <w:gridCol w:w="3438"/>
      </w:tblGrid>
      <w:tr w:rsidR="007A2B04">
        <w:trPr>
          <w:trHeight w:val="283"/>
          <w:tblHeader/>
        </w:trPr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Наименование цели деятельности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Краткая характеристика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Правовое обоснование</w:t>
            </w:r>
          </w:p>
        </w:tc>
      </w:tr>
      <w:tr w:rsidR="007A2B04">
        <w:trPr>
          <w:trHeight w:val="230"/>
          <w:tblHeader/>
        </w:trPr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7A2B04">
        <w:trPr>
          <w:trHeight w:val="230"/>
        </w:trPr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Образовательная деятельность в сфере дошкольного образования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Образовательная деятельность осуществляет образовательный процесс в соответствии с образовательными программами дошкольного воспитания. Основными задачами являются: обеспечение преемственности и непрерывности между дошкольным и начальным общим образованием, создание оптимальных условий для охраны и укрепления здоровья, обеспечение физического и психологического развития, формирование потребности в здоровом образе жизни, обеспечение реализации в полном объеме образовательных программ и их качество.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Лицензия на осуществление образовательной деятельности по образовательным программам Рег.№76242510/0367 от 10.12.2010г. Устав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учреждения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утвержденный приказом департамента образования мэрии города Ярославля за №01-05/720 от 14.08.2013г.</w:t>
            </w:r>
          </w:p>
        </w:tc>
      </w:tr>
    </w:tbl>
    <w:p w:rsidR="007A2B04" w:rsidRDefault="007A2B04">
      <w:pPr>
        <w:sectPr w:rsidR="007A2B04">
          <w:headerReference w:type="default" r:id="rId8"/>
          <w:footerReference w:type="default" r:id="rId9"/>
          <w:pgSz w:w="11905" w:h="16837"/>
          <w:pgMar w:top="566" w:right="453" w:bottom="566" w:left="1133" w:header="566" w:footer="566" w:gutter="0"/>
          <w:cols w:space="720"/>
        </w:sectPr>
      </w:pPr>
    </w:p>
    <w:p w:rsidR="007A2B04" w:rsidRDefault="007A2B04"/>
    <w:tbl>
      <w:tblPr>
        <w:tblOverlap w:val="never"/>
        <w:tblW w:w="10316" w:type="dxa"/>
        <w:tblLayout w:type="fixed"/>
        <w:tblLook w:val="01E0"/>
      </w:tblPr>
      <w:tblGrid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620"/>
      </w:tblGrid>
      <w:tr w:rsidR="007A2B04">
        <w:trPr>
          <w:trHeight w:val="680"/>
        </w:trPr>
        <w:tc>
          <w:tcPr>
            <w:tcW w:w="10316" w:type="dxa"/>
            <w:gridSpan w:val="9"/>
            <w:vMerge w:val="restart"/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Сведения об особенностях ведения бухгалтерского учета</w:t>
            </w:r>
          </w:p>
        </w:tc>
      </w:tr>
      <w:tr w:rsidR="007A2B04"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620" w:type="dxa"/>
          </w:tcPr>
          <w:p w:rsidR="007A2B04" w:rsidRDefault="0027183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Таблица №4</w:t>
            </w:r>
          </w:p>
        </w:tc>
      </w:tr>
    </w:tbl>
    <w:p w:rsidR="007A2B04" w:rsidRDefault="007A2B04">
      <w:bookmarkStart w:id="3" w:name="__bookmark_4"/>
      <w:bookmarkEnd w:id="3"/>
    </w:p>
    <w:tbl>
      <w:tblPr>
        <w:tblOverlap w:val="never"/>
        <w:tblW w:w="10314" w:type="dxa"/>
        <w:tblLayout w:type="fixed"/>
        <w:tblLook w:val="01E0"/>
      </w:tblPr>
      <w:tblGrid>
        <w:gridCol w:w="2292"/>
        <w:gridCol w:w="2292"/>
        <w:gridCol w:w="2292"/>
        <w:gridCol w:w="3438"/>
      </w:tblGrid>
      <w:tr w:rsidR="007A2B04">
        <w:trPr>
          <w:trHeight w:val="680"/>
          <w:tblHeader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Код счета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бухгалтерского учета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Характеристика метода оценки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и момент отражения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операции в учете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Правовое обоснование</w:t>
            </w:r>
          </w:p>
        </w:tc>
      </w:tr>
      <w:tr w:rsidR="007A2B04">
        <w:trPr>
          <w:trHeight w:val="230"/>
          <w:tblHeader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7A2B04">
        <w:trPr>
          <w:trHeight w:val="230"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Основные средства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101 000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Учет ведется по первоначальной балансовой стоимости.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Приказ Минфина РФ от 16 декабря 2010 года №174н.</w:t>
            </w:r>
          </w:p>
        </w:tc>
      </w:tr>
      <w:tr w:rsidR="007A2B04">
        <w:trPr>
          <w:trHeight w:val="230"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Начисление амортизации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104 000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 линейному методу в последний день месяца. На объекты основных сре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дств ст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оимостью до 3000 рублей включительно амортизация не начисляется.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Приказ Минфина РФ от 16 декабря 2010 года №174н.</w:t>
            </w:r>
          </w:p>
        </w:tc>
      </w:tr>
      <w:tr w:rsidR="007A2B04">
        <w:trPr>
          <w:trHeight w:val="230"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Материальные запасы (принятие к учету)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105 000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По фактической стоимости. Моментом отражения операции в учете является дата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оприходования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Приказ Минфина РФ от 16 декабря 2010 года №174н.</w:t>
            </w:r>
          </w:p>
        </w:tc>
      </w:tr>
      <w:tr w:rsidR="007A2B04">
        <w:trPr>
          <w:trHeight w:val="230"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Материальные запасы (списание)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105 000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 средней фактической стоимости на дату списания.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Приказ Минфина РФ от 16 декабря 2010 года №174н.</w:t>
            </w:r>
          </w:p>
        </w:tc>
      </w:tr>
      <w:tr w:rsidR="007A2B04">
        <w:trPr>
          <w:trHeight w:val="230"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Вложения в нефинансовые активы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109 000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Сформированная по результатам деятельности учреждения себестоимость выполненных учреждением работ, оказанных услуг отражается на счетах финансового результата текущего финансового года в уменьшение дохода от оказания платных услуг, работ. Прямые затраты непосредственно относить на себестоимость оказания услуги. Общехозяйственные расходы распределять на стоимость оказанных услуг.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Приказ Минфина РФ от 16 декабря 2010 года №174н.</w:t>
            </w:r>
          </w:p>
        </w:tc>
      </w:tr>
      <w:tr w:rsidR="007A2B04">
        <w:trPr>
          <w:trHeight w:val="230"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Расчеты по выданным авансам (дебиторская задолженность)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206 000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Договор, счет в момент оплаты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Приказ Минфина РФ от 16 декабря 2010 года №174н.</w:t>
            </w:r>
          </w:p>
        </w:tc>
      </w:tr>
      <w:tr w:rsidR="007A2B04">
        <w:trPr>
          <w:trHeight w:val="230"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Расчеты по принятым обязательствам (кредиторская задолженность)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302 000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Договора, счета-фактуры, накладные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Приказ Минфина РФ от 16 декабря 2010 года №174н.</w:t>
            </w:r>
          </w:p>
        </w:tc>
      </w:tr>
      <w:tr w:rsidR="007A2B04">
        <w:trPr>
          <w:trHeight w:val="230"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Платежи в бюджет (налоги и взносы)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303 000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Применение нулевой ставки налога на прибыль организации, освобождение от НДС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Налоговый кодекс РФ ст.39 п.1, ст.251 п.14</w:t>
            </w:r>
          </w:p>
        </w:tc>
      </w:tr>
      <w:tr w:rsidR="007A2B04">
        <w:trPr>
          <w:trHeight w:val="230"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Результат финансовой деятельности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401 000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Приносящая доход деятельность. Датой получения дохода признается дата реализации работ, услуг, независимо от фактического поступления денежных средств в их оплату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Налоговый кодекс РФ ст.39 п.1, ст.251 п.14</w:t>
            </w:r>
          </w:p>
        </w:tc>
      </w:tr>
    </w:tbl>
    <w:p w:rsidR="007A2B04" w:rsidRDefault="007A2B04">
      <w:pPr>
        <w:sectPr w:rsidR="007A2B04">
          <w:headerReference w:type="default" r:id="rId10"/>
          <w:footerReference w:type="default" r:id="rId11"/>
          <w:pgSz w:w="11905" w:h="16837"/>
          <w:pgMar w:top="566" w:right="453" w:bottom="566" w:left="1133" w:header="566" w:footer="566" w:gutter="0"/>
          <w:cols w:space="720"/>
        </w:sectPr>
      </w:pPr>
    </w:p>
    <w:p w:rsidR="007A2B04" w:rsidRDefault="007A2B04"/>
    <w:tbl>
      <w:tblPr>
        <w:tblOverlap w:val="never"/>
        <w:tblW w:w="10316" w:type="dxa"/>
        <w:tblLayout w:type="fixed"/>
        <w:tblLook w:val="01E0"/>
      </w:tblPr>
      <w:tblGrid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620"/>
      </w:tblGrid>
      <w:tr w:rsidR="007A2B04">
        <w:trPr>
          <w:trHeight w:val="680"/>
        </w:trPr>
        <w:tc>
          <w:tcPr>
            <w:tcW w:w="10316" w:type="dxa"/>
            <w:gridSpan w:val="9"/>
            <w:vMerge w:val="restart"/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Сведения о результатах мероприятий внутреннего контроля</w:t>
            </w:r>
          </w:p>
        </w:tc>
      </w:tr>
      <w:tr w:rsidR="007A2B04"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620" w:type="dxa"/>
          </w:tcPr>
          <w:p w:rsidR="007A2B04" w:rsidRDefault="0027183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Таблица №5</w:t>
            </w:r>
          </w:p>
        </w:tc>
      </w:tr>
    </w:tbl>
    <w:p w:rsidR="007A2B04" w:rsidRDefault="007A2B04">
      <w:bookmarkStart w:id="4" w:name="__bookmark_5"/>
      <w:bookmarkEnd w:id="4"/>
    </w:p>
    <w:tbl>
      <w:tblPr>
        <w:tblOverlap w:val="never"/>
        <w:tblW w:w="10314" w:type="dxa"/>
        <w:tblLayout w:type="fixed"/>
        <w:tblLook w:val="01E0"/>
      </w:tblPr>
      <w:tblGrid>
        <w:gridCol w:w="2292"/>
        <w:gridCol w:w="2292"/>
        <w:gridCol w:w="2292"/>
        <w:gridCol w:w="3438"/>
      </w:tblGrid>
      <w:tr w:rsidR="007A2B04">
        <w:trPr>
          <w:trHeight w:val="510"/>
          <w:tblHeader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Тип контрольных мероприятий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Выявленные нарушения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Меры по устранению выявленных нарушений</w:t>
            </w:r>
          </w:p>
        </w:tc>
      </w:tr>
      <w:tr w:rsidR="007A2B04">
        <w:trPr>
          <w:trHeight w:val="230"/>
          <w:tblHeader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7A2B04">
        <w:trPr>
          <w:trHeight w:val="230"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Последующий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1.Проверка соответствия перечня полученных учреждением товаров, работ, услуг. 2.Контроль сохранности имущества и материальных ценностей.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7A2B04"/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7A2B04"/>
        </w:tc>
      </w:tr>
      <w:tr w:rsidR="007A2B04">
        <w:trPr>
          <w:trHeight w:val="230"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Предварительный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Составление учетной политики учреждения. 1.Проверка состояния плана ФХД на соответствие нормам законодательства.2.Экспертиза договоров и контрактов.3.Проверка соответствия цен договоров и контрактов.4.Контроль за не превышением сумм договоров и контрактов.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7A2B04"/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7A2B04"/>
        </w:tc>
      </w:tr>
      <w:tr w:rsidR="007A2B04">
        <w:trPr>
          <w:trHeight w:val="230"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Текущий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1.Проверка реальной стоимости учтенных на балансе ТМЦ, сумм денежных средств в кассе, лицевых счетах, дебиторской задолженности (расчетов с покупателями и др.), кредиторской задолженности (поставщикам материалов, банкам, по налогам и др.) и других статей баланса.2.Ведение кассовых операций.3.Проверка содержания и эксплуатации основных средств.4.Инвентаризация остатков. 5.Контроль за соблюдением сроков исполнения договоров и контрактов. 6.Контроль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сроков предоставления отчетности.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Нарушений не выявлено.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7A2B04"/>
        </w:tc>
      </w:tr>
    </w:tbl>
    <w:p w:rsidR="007A2B04" w:rsidRDefault="007A2B04">
      <w:pPr>
        <w:sectPr w:rsidR="007A2B04">
          <w:headerReference w:type="default" r:id="rId12"/>
          <w:footerReference w:type="default" r:id="rId13"/>
          <w:pgSz w:w="11905" w:h="16837"/>
          <w:pgMar w:top="566" w:right="453" w:bottom="566" w:left="1133" w:header="566" w:footer="566" w:gutter="0"/>
          <w:cols w:space="720"/>
        </w:sectPr>
      </w:pPr>
    </w:p>
    <w:p w:rsidR="007A2B04" w:rsidRDefault="007A2B04"/>
    <w:tbl>
      <w:tblPr>
        <w:tblOverlap w:val="never"/>
        <w:tblW w:w="10316" w:type="dxa"/>
        <w:tblLayout w:type="fixed"/>
        <w:tblLook w:val="01E0"/>
      </w:tblPr>
      <w:tblGrid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620"/>
      </w:tblGrid>
      <w:tr w:rsidR="007A2B04">
        <w:trPr>
          <w:trHeight w:val="680"/>
        </w:trPr>
        <w:tc>
          <w:tcPr>
            <w:tcW w:w="10316" w:type="dxa"/>
            <w:gridSpan w:val="9"/>
            <w:vMerge w:val="restart"/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Сведения о проведении инвентаризаций</w:t>
            </w:r>
          </w:p>
        </w:tc>
      </w:tr>
      <w:tr w:rsidR="007A2B04"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087" w:type="dxa"/>
            <w:vAlign w:val="center"/>
          </w:tcPr>
          <w:p w:rsidR="007A2B04" w:rsidRDefault="007A2B04"/>
        </w:tc>
        <w:tc>
          <w:tcPr>
            <w:tcW w:w="1620" w:type="dxa"/>
          </w:tcPr>
          <w:p w:rsidR="007A2B04" w:rsidRDefault="0027183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Таблица №6</w:t>
            </w:r>
          </w:p>
        </w:tc>
      </w:tr>
    </w:tbl>
    <w:p w:rsidR="007A2B04" w:rsidRDefault="007A2B04">
      <w:bookmarkStart w:id="5" w:name="__bookmark_6"/>
      <w:bookmarkEnd w:id="5"/>
    </w:p>
    <w:tbl>
      <w:tblPr>
        <w:tblOverlap w:val="never"/>
        <w:tblW w:w="10314" w:type="dxa"/>
        <w:tblLayout w:type="fixed"/>
        <w:tblLook w:val="01E0"/>
      </w:tblPr>
      <w:tblGrid>
        <w:gridCol w:w="2292"/>
        <w:gridCol w:w="1146"/>
        <w:gridCol w:w="1146"/>
        <w:gridCol w:w="1146"/>
        <w:gridCol w:w="1146"/>
        <w:gridCol w:w="2292"/>
        <w:gridCol w:w="1146"/>
      </w:tblGrid>
      <w:tr w:rsidR="007A2B04">
        <w:trPr>
          <w:trHeight w:val="510"/>
          <w:tblHeader/>
        </w:trPr>
        <w:tc>
          <w:tcPr>
            <w:tcW w:w="57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Проведение инвентаризации</w:t>
            </w:r>
          </w:p>
        </w:tc>
        <w:tc>
          <w:tcPr>
            <w:tcW w:w="34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Результат инвентаризации (расхождения)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Меры по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устран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нию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выявлен-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ных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расхожде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ний</w:t>
            </w:r>
            <w:proofErr w:type="spellEnd"/>
          </w:p>
        </w:tc>
      </w:tr>
      <w:tr w:rsidR="007A2B04">
        <w:trPr>
          <w:trHeight w:val="566"/>
          <w:tblHeader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причина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приказ о проведении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код счета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бухгалте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р-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ского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учета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сумма, руб.</w:t>
            </w: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7A2B04"/>
        </w:tc>
      </w:tr>
      <w:tr w:rsidR="007A2B04">
        <w:trPr>
          <w:trHeight w:val="623"/>
          <w:tblHeader/>
        </w:trPr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7A2B04"/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7A2B04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7A2B04"/>
        </w:tc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7A2B04"/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7A2B04"/>
        </w:tc>
      </w:tr>
      <w:tr w:rsidR="007A2B04">
        <w:trPr>
          <w:tblHeader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A2B04"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ежегодная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01.10.2013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01.10-74/15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30.09.2013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7A2B04">
            <w:pPr>
              <w:jc w:val="center"/>
            </w:pP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нарушения не выявлены</w:t>
            </w:r>
          </w:p>
        </w:tc>
      </w:tr>
    </w:tbl>
    <w:p w:rsidR="007A2B04" w:rsidRDefault="007A2B04">
      <w:pPr>
        <w:sectPr w:rsidR="007A2B04">
          <w:headerReference w:type="default" r:id="rId14"/>
          <w:footerReference w:type="default" r:id="rId15"/>
          <w:pgSz w:w="11905" w:h="16837"/>
          <w:pgMar w:top="566" w:right="453" w:bottom="566" w:left="1133" w:header="566" w:footer="566" w:gutter="0"/>
          <w:cols w:space="720"/>
        </w:sectPr>
      </w:pPr>
    </w:p>
    <w:tbl>
      <w:tblPr>
        <w:tblOverlap w:val="never"/>
        <w:tblW w:w="10316" w:type="dxa"/>
        <w:tblLayout w:type="fixed"/>
        <w:tblLook w:val="01E0"/>
      </w:tblPr>
      <w:tblGrid>
        <w:gridCol w:w="1088"/>
        <w:gridCol w:w="1088"/>
        <w:gridCol w:w="1088"/>
        <w:gridCol w:w="1088"/>
        <w:gridCol w:w="1088"/>
        <w:gridCol w:w="1088"/>
        <w:gridCol w:w="1088"/>
        <w:gridCol w:w="1860"/>
        <w:gridCol w:w="840"/>
      </w:tblGrid>
      <w:tr w:rsidR="007A2B04">
        <w:trPr>
          <w:trHeight w:val="680"/>
        </w:trPr>
        <w:tc>
          <w:tcPr>
            <w:tcW w:w="10316" w:type="dxa"/>
            <w:gridSpan w:val="9"/>
            <w:vMerge w:val="restart"/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lastRenderedPageBreak/>
              <w:t>Сведения о результатах внешних контрольных мероприятий</w:t>
            </w:r>
          </w:p>
        </w:tc>
      </w:tr>
      <w:tr w:rsidR="007A2B04">
        <w:tc>
          <w:tcPr>
            <w:tcW w:w="1088" w:type="dxa"/>
            <w:vAlign w:val="center"/>
          </w:tcPr>
          <w:p w:rsidR="007A2B04" w:rsidRDefault="007A2B04"/>
        </w:tc>
        <w:tc>
          <w:tcPr>
            <w:tcW w:w="1088" w:type="dxa"/>
            <w:vAlign w:val="center"/>
          </w:tcPr>
          <w:p w:rsidR="007A2B04" w:rsidRDefault="007A2B04"/>
        </w:tc>
        <w:tc>
          <w:tcPr>
            <w:tcW w:w="1088" w:type="dxa"/>
            <w:vAlign w:val="center"/>
          </w:tcPr>
          <w:p w:rsidR="007A2B04" w:rsidRDefault="007A2B04"/>
        </w:tc>
        <w:tc>
          <w:tcPr>
            <w:tcW w:w="1088" w:type="dxa"/>
            <w:vAlign w:val="center"/>
          </w:tcPr>
          <w:p w:rsidR="007A2B04" w:rsidRDefault="007A2B04"/>
        </w:tc>
        <w:tc>
          <w:tcPr>
            <w:tcW w:w="1088" w:type="dxa"/>
            <w:vAlign w:val="center"/>
          </w:tcPr>
          <w:p w:rsidR="007A2B04" w:rsidRDefault="007A2B04"/>
        </w:tc>
        <w:tc>
          <w:tcPr>
            <w:tcW w:w="1088" w:type="dxa"/>
            <w:vAlign w:val="center"/>
          </w:tcPr>
          <w:p w:rsidR="007A2B04" w:rsidRDefault="007A2B04"/>
        </w:tc>
        <w:tc>
          <w:tcPr>
            <w:tcW w:w="1088" w:type="dxa"/>
            <w:vAlign w:val="center"/>
          </w:tcPr>
          <w:p w:rsidR="007A2B04" w:rsidRDefault="007A2B04"/>
        </w:tc>
        <w:tc>
          <w:tcPr>
            <w:tcW w:w="1860" w:type="dxa"/>
            <w:vAlign w:val="center"/>
          </w:tcPr>
          <w:p w:rsidR="007A2B04" w:rsidRDefault="0027183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Таблица №7</w:t>
            </w:r>
          </w:p>
        </w:tc>
        <w:tc>
          <w:tcPr>
            <w:tcW w:w="840" w:type="dxa"/>
          </w:tcPr>
          <w:p w:rsidR="007A2B04" w:rsidRDefault="007A2B04"/>
        </w:tc>
      </w:tr>
    </w:tbl>
    <w:p w:rsidR="007A2B04" w:rsidRDefault="007A2B04">
      <w:bookmarkStart w:id="6" w:name="__bookmark_7"/>
      <w:bookmarkEnd w:id="6"/>
    </w:p>
    <w:tbl>
      <w:tblPr>
        <w:tblOverlap w:val="never"/>
        <w:tblW w:w="9459" w:type="dxa"/>
        <w:tblLayout w:type="fixed"/>
        <w:tblLook w:val="01E0"/>
      </w:tblPr>
      <w:tblGrid>
        <w:gridCol w:w="1051"/>
        <w:gridCol w:w="2102"/>
        <w:gridCol w:w="2102"/>
        <w:gridCol w:w="2102"/>
        <w:gridCol w:w="2102"/>
      </w:tblGrid>
      <w:tr w:rsidR="007A2B04">
        <w:trPr>
          <w:trHeight w:val="510"/>
          <w:tblHeader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Дата проверки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Наименование контрольного органа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Тема проверки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Результаты проверки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Меры по результатам проверки</w:t>
            </w:r>
          </w:p>
        </w:tc>
      </w:tr>
      <w:tr w:rsidR="007A2B04">
        <w:trPr>
          <w:tblHeader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A2B04"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11.02.2013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Отдел по контролю в сфере муниципального заказа управление финансового контроля департамента финансов мэрии г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рославля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Плановая проверка соблюдения законодательства о размещении заказов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Акт от 14.02.2013 №5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Рекомендации выполнены. В связи с изменением типа учреждения. Школьный лагерь отсутствует.</w:t>
            </w:r>
          </w:p>
        </w:tc>
      </w:tr>
      <w:tr w:rsidR="007A2B04"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23.03.2013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Правительство Ярославской области Управление по противодействию коррупции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Выполнение законодательства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Постановление ст.19.7.4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КоАП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РФ ч.1 ст.7.29.Освободить Коновалову Антонину Евгеньевну от административной ответственности, устное замечание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7A2B04"/>
        </w:tc>
      </w:tr>
      <w:tr w:rsidR="007A2B04"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24.04.2013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МКУ ЦОФОУ Заволжского района г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рославля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 w:rsidP="00D96D33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Плановая проверка </w:t>
            </w:r>
            <w:r w:rsidR="00D96D33">
              <w:rPr>
                <w:rFonts w:ascii="Arial" w:eastAsia="Arial" w:hAnsi="Arial" w:cs="Arial"/>
                <w:color w:val="000000"/>
                <w:sz w:val="16"/>
                <w:szCs w:val="16"/>
              </w:rPr>
              <w:t>правильности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оформления личных дел педагогических работников, трудовых книжек, педагогический стаж, определение окладов </w:t>
            </w:r>
            <w:r w:rsidR="00D96D33">
              <w:rPr>
                <w:rFonts w:ascii="Arial" w:eastAsia="Arial" w:hAnsi="Arial" w:cs="Arial"/>
                <w:color w:val="000000"/>
                <w:sz w:val="16"/>
                <w:szCs w:val="16"/>
              </w:rPr>
              <w:t>педагогическим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работникам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1) Повысить оклады двум педагогам - молодые специалисты; 2) Педагогический стаж расхождения в месяцах в тарификации и трудовых книжках.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Замечания исправлены.</w:t>
            </w:r>
          </w:p>
        </w:tc>
      </w:tr>
      <w:tr w:rsidR="007A2B04"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16.08.2013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Роспотребнадзора</w:t>
            </w:r>
            <w:proofErr w:type="spellEnd"/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Внеплановая проверка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Ребенок - </w:t>
            </w:r>
            <w:r w:rsidR="00D96D33">
              <w:rPr>
                <w:rFonts w:ascii="Arial" w:eastAsia="Arial" w:hAnsi="Arial" w:cs="Arial"/>
                <w:color w:val="000000"/>
                <w:sz w:val="16"/>
                <w:szCs w:val="16"/>
              </w:rPr>
              <w:t>энтеровирусную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инфекцию привез с Черного моря. В детский сад поступил из отпуска со справкой, что здоров. Случай единичный. Повторных нет.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7A2B04"/>
        </w:tc>
      </w:tr>
      <w:tr w:rsidR="007A2B04"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02.09.2013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ФС по надзору в сфере защиты прав потребителей и благополучия человека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Плановая выездная проверка за соблюдением норм и правил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СанПин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2.4.1.3049-13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Нет крышек на 5 песочницах (из 11), которыми необходимо закрывать при отсутствии детей. Группа №7 не всё бельё промаркировано, группа №6 не все полотенца промаркированы.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 всех 11 групповых участках на песочницах установлены крышки. Всё бельё промаркировано.</w:t>
            </w:r>
          </w:p>
        </w:tc>
      </w:tr>
      <w:tr w:rsidR="007A2B04"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03.09.2013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ОНД по Заволжскому району г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рославля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Плановая проверка за исполнением ежегодного плана проведения проверок. Соблюдение требований ПБ.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Акт № 97 от 24.09.13. на путях эвакуации отсутствуют знаки ПБ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казывающие направление к эвакуационным выходам (коридоры, лестницы)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Нарушения устранены.</w:t>
            </w:r>
          </w:p>
        </w:tc>
      </w:tr>
      <w:tr w:rsidR="007A2B04"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12.09.2013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Прокуратура Заволжского района г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рославля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Плановая проверка. Осуществление надзорной деятельности по исполнению законодательства в сфере размещения заказов на поставку за год.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7A2B04"/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7A2B04"/>
        </w:tc>
      </w:tr>
      <w:tr w:rsidR="007A2B04"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17.10.2013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Департамент образования ЯО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Документальная проверка в связи с изменением перечня оказываемых образовательных услуг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7A2B04"/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Выдана </w:t>
            </w:r>
            <w:r w:rsidR="00D96D33">
              <w:rPr>
                <w:rFonts w:ascii="Arial" w:eastAsia="Arial" w:hAnsi="Arial" w:cs="Arial"/>
                <w:color w:val="000000"/>
                <w:sz w:val="16"/>
                <w:szCs w:val="16"/>
              </w:rPr>
              <w:t>лицензия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образовательную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деятельности с приложениями</w:t>
            </w:r>
          </w:p>
        </w:tc>
      </w:tr>
      <w:tr w:rsidR="007A2B04"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23.12.2013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Отдел учета и отчетности управления городского казначейства департамента финансов мэрии г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рославля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Плановая проверка за состоянием бухгалтерского учета и отчетности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1)Принять меры к погашению задолженности за содержание детей (выбывших из школы). Выявить детей, которым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детский сад должен выплатить. 2) Восстановить счет 050800000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7A2B04"/>
        </w:tc>
      </w:tr>
      <w:tr w:rsidR="007A2B04"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24.12.2013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Прокуратура Заволжского района г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рославля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Плановая проверка надлежащего исполнения </w:t>
            </w:r>
            <w:r w:rsidR="00D96D33">
              <w:rPr>
                <w:rFonts w:ascii="Arial" w:eastAsia="Arial" w:hAnsi="Arial" w:cs="Arial"/>
                <w:color w:val="000000"/>
                <w:sz w:val="16"/>
                <w:szCs w:val="16"/>
              </w:rPr>
              <w:t>трудового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законодательства. Увольнение работников в связи с сокращением штата.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7A2B04"/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B04" w:rsidRDefault="007A2B04"/>
        </w:tc>
      </w:tr>
    </w:tbl>
    <w:p w:rsidR="007A2B04" w:rsidRDefault="007A2B04">
      <w:pPr>
        <w:sectPr w:rsidR="007A2B04">
          <w:headerReference w:type="default" r:id="rId16"/>
          <w:footerReference w:type="default" r:id="rId17"/>
          <w:pgSz w:w="11905" w:h="16837"/>
          <w:pgMar w:top="566" w:right="453" w:bottom="566" w:left="1133" w:header="566" w:footer="566" w:gutter="0"/>
          <w:cols w:space="720"/>
        </w:sectPr>
      </w:pPr>
    </w:p>
    <w:p w:rsidR="007A2B04" w:rsidRDefault="007A2B04">
      <w:bookmarkStart w:id="7" w:name="__bookmark_8"/>
      <w:bookmarkEnd w:id="7"/>
    </w:p>
    <w:tbl>
      <w:tblPr>
        <w:tblOverlap w:val="never"/>
        <w:tblW w:w="10197" w:type="dxa"/>
        <w:tblLayout w:type="fixed"/>
        <w:tblLook w:val="01E0"/>
      </w:tblPr>
      <w:tblGrid>
        <w:gridCol w:w="2153"/>
        <w:gridCol w:w="1586"/>
        <w:gridCol w:w="283"/>
        <w:gridCol w:w="3116"/>
        <w:gridCol w:w="3059"/>
      </w:tblGrid>
      <w:tr w:rsidR="007A2B04">
        <w:trPr>
          <w:trHeight w:val="680"/>
        </w:trPr>
        <w:tc>
          <w:tcPr>
            <w:tcW w:w="2153" w:type="dxa"/>
            <w:vMerge w:val="restart"/>
            <w:vAlign w:val="bottom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1586" w:type="dxa"/>
            <w:vMerge w:val="restart"/>
          </w:tcPr>
          <w:p w:rsidR="007A2B04" w:rsidRDefault="007A2B04"/>
        </w:tc>
        <w:tc>
          <w:tcPr>
            <w:tcW w:w="283" w:type="dxa"/>
            <w:vMerge w:val="restart"/>
          </w:tcPr>
          <w:p w:rsidR="007A2B04" w:rsidRDefault="007A2B04"/>
        </w:tc>
        <w:tc>
          <w:tcPr>
            <w:tcW w:w="3116" w:type="dxa"/>
            <w:vMerge w:val="restart"/>
            <w:vAlign w:val="bottom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Коновалова Антонина Евгеньевна</w:t>
            </w:r>
          </w:p>
        </w:tc>
        <w:tc>
          <w:tcPr>
            <w:tcW w:w="3059" w:type="dxa"/>
            <w:vMerge w:val="restart"/>
          </w:tcPr>
          <w:p w:rsidR="007A2B04" w:rsidRDefault="007A2B04"/>
        </w:tc>
      </w:tr>
      <w:tr w:rsidR="007A2B04">
        <w:trPr>
          <w:trHeight w:val="566"/>
        </w:trPr>
        <w:tc>
          <w:tcPr>
            <w:tcW w:w="2153" w:type="dxa"/>
            <w:vMerge w:val="restart"/>
            <w:vAlign w:val="bottom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Руководитель планово-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экономической службы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  <w:vMerge/>
          </w:tcPr>
          <w:p w:rsidR="007A2B04" w:rsidRDefault="007A2B04"/>
        </w:tc>
        <w:tc>
          <w:tcPr>
            <w:tcW w:w="3116" w:type="dxa"/>
            <w:vMerge w:val="restart"/>
            <w:tcBorders>
              <w:top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3059" w:type="dxa"/>
            <w:vMerge/>
          </w:tcPr>
          <w:p w:rsidR="007A2B04" w:rsidRDefault="007A2B04"/>
        </w:tc>
      </w:tr>
      <w:tr w:rsidR="007A2B04">
        <w:trPr>
          <w:trHeight w:val="453"/>
        </w:trPr>
        <w:tc>
          <w:tcPr>
            <w:tcW w:w="2153" w:type="dxa"/>
            <w:vMerge/>
            <w:vAlign w:val="bottom"/>
          </w:tcPr>
          <w:p w:rsidR="007A2B04" w:rsidRDefault="007A2B04"/>
        </w:tc>
        <w:tc>
          <w:tcPr>
            <w:tcW w:w="1586" w:type="dxa"/>
            <w:vMerge/>
            <w:tcBorders>
              <w:top w:val="single" w:sz="6" w:space="0" w:color="000000"/>
            </w:tcBorders>
          </w:tcPr>
          <w:p w:rsidR="007A2B04" w:rsidRDefault="007A2B04"/>
        </w:tc>
        <w:tc>
          <w:tcPr>
            <w:tcW w:w="283" w:type="dxa"/>
            <w:vMerge/>
          </w:tcPr>
          <w:p w:rsidR="007A2B04" w:rsidRDefault="007A2B04"/>
        </w:tc>
        <w:tc>
          <w:tcPr>
            <w:tcW w:w="3116" w:type="dxa"/>
            <w:vMerge w:val="restart"/>
            <w:vAlign w:val="bottom"/>
          </w:tcPr>
          <w:p w:rsidR="007A2B04" w:rsidRDefault="007A2B04"/>
        </w:tc>
        <w:tc>
          <w:tcPr>
            <w:tcW w:w="3059" w:type="dxa"/>
            <w:vMerge/>
          </w:tcPr>
          <w:p w:rsidR="007A2B04" w:rsidRDefault="007A2B04"/>
        </w:tc>
      </w:tr>
      <w:tr w:rsidR="007A2B04">
        <w:trPr>
          <w:trHeight w:val="566"/>
        </w:trPr>
        <w:tc>
          <w:tcPr>
            <w:tcW w:w="2153" w:type="dxa"/>
            <w:vMerge w:val="restart"/>
            <w:vAlign w:val="bottom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  <w:vMerge/>
          </w:tcPr>
          <w:p w:rsidR="007A2B04" w:rsidRDefault="007A2B04"/>
        </w:tc>
        <w:tc>
          <w:tcPr>
            <w:tcW w:w="3116" w:type="dxa"/>
            <w:vMerge w:val="restart"/>
            <w:tcBorders>
              <w:top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3059" w:type="dxa"/>
            <w:vMerge/>
          </w:tcPr>
          <w:p w:rsidR="007A2B04" w:rsidRDefault="007A2B04"/>
        </w:tc>
      </w:tr>
      <w:tr w:rsidR="007A2B04">
        <w:trPr>
          <w:trHeight w:val="230"/>
        </w:trPr>
        <w:tc>
          <w:tcPr>
            <w:tcW w:w="2153" w:type="dxa"/>
            <w:vMerge/>
            <w:vAlign w:val="bottom"/>
          </w:tcPr>
          <w:p w:rsidR="007A2B04" w:rsidRDefault="007A2B04"/>
        </w:tc>
        <w:tc>
          <w:tcPr>
            <w:tcW w:w="1586" w:type="dxa"/>
            <w:vMerge/>
            <w:tcBorders>
              <w:top w:val="single" w:sz="6" w:space="0" w:color="000000"/>
            </w:tcBorders>
          </w:tcPr>
          <w:p w:rsidR="007A2B04" w:rsidRDefault="007A2B04"/>
        </w:tc>
        <w:tc>
          <w:tcPr>
            <w:tcW w:w="283" w:type="dxa"/>
            <w:vMerge/>
          </w:tcPr>
          <w:p w:rsidR="007A2B04" w:rsidRDefault="007A2B04"/>
        </w:tc>
        <w:tc>
          <w:tcPr>
            <w:tcW w:w="3116" w:type="dxa"/>
            <w:vMerge w:val="restart"/>
            <w:vAlign w:val="bottom"/>
          </w:tcPr>
          <w:p w:rsidR="007A2B04" w:rsidRDefault="0027183A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Лебедев Николай Николаевич</w:t>
            </w:r>
          </w:p>
        </w:tc>
        <w:tc>
          <w:tcPr>
            <w:tcW w:w="3059" w:type="dxa"/>
            <w:vMerge/>
          </w:tcPr>
          <w:p w:rsidR="007A2B04" w:rsidRDefault="007A2B04"/>
        </w:tc>
      </w:tr>
      <w:tr w:rsidR="007A2B04">
        <w:trPr>
          <w:trHeight w:val="680"/>
        </w:trPr>
        <w:tc>
          <w:tcPr>
            <w:tcW w:w="2153" w:type="dxa"/>
            <w:vMerge w:val="restart"/>
          </w:tcPr>
          <w:p w:rsidR="007A2B04" w:rsidRDefault="007A2B04"/>
        </w:tc>
        <w:tc>
          <w:tcPr>
            <w:tcW w:w="1586" w:type="dxa"/>
            <w:vMerge w:val="restart"/>
            <w:tcBorders>
              <w:top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  <w:vMerge/>
          </w:tcPr>
          <w:p w:rsidR="007A2B04" w:rsidRDefault="007A2B04"/>
        </w:tc>
        <w:tc>
          <w:tcPr>
            <w:tcW w:w="3116" w:type="dxa"/>
            <w:vMerge w:val="restart"/>
            <w:tcBorders>
              <w:top w:val="single" w:sz="6" w:space="0" w:color="000000"/>
            </w:tcBorders>
          </w:tcPr>
          <w:p w:rsidR="007A2B04" w:rsidRDefault="0027183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3059" w:type="dxa"/>
            <w:vMerge/>
          </w:tcPr>
          <w:p w:rsidR="007A2B04" w:rsidRDefault="007A2B04"/>
        </w:tc>
      </w:tr>
    </w:tbl>
    <w:p w:rsidR="007A2B04" w:rsidRDefault="007A2B04">
      <w:bookmarkStart w:id="8" w:name="__bookmark_9"/>
      <w:bookmarkEnd w:id="8"/>
    </w:p>
    <w:p w:rsidR="0027183A" w:rsidRDefault="0027183A"/>
    <w:sectPr w:rsidR="0027183A" w:rsidSect="007A2B04">
      <w:headerReference w:type="default" r:id="rId18"/>
      <w:footerReference w:type="default" r:id="rId19"/>
      <w:pgSz w:w="11905" w:h="16837"/>
      <w:pgMar w:top="566" w:right="453" w:bottom="566" w:left="1133" w:header="566" w:footer="5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5F4" w:rsidRDefault="007375F4" w:rsidP="007A2B04">
      <w:r>
        <w:separator/>
      </w:r>
    </w:p>
  </w:endnote>
  <w:endnote w:type="continuationSeparator" w:id="0">
    <w:p w:rsidR="007375F4" w:rsidRDefault="007375F4" w:rsidP="007A2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4" w:type="dxa"/>
      <w:tblLayout w:type="fixed"/>
      <w:tblLook w:val="01E0"/>
    </w:tblPr>
    <w:tblGrid>
      <w:gridCol w:w="10534"/>
    </w:tblGrid>
    <w:tr w:rsidR="007A2B04">
      <w:trPr>
        <w:trHeight w:val="720"/>
      </w:trPr>
      <w:tc>
        <w:tcPr>
          <w:tcW w:w="10534" w:type="dxa"/>
        </w:tcPr>
        <w:p w:rsidR="007A2B04" w:rsidRDefault="007A2B04"/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4" w:type="dxa"/>
      <w:tblLayout w:type="fixed"/>
      <w:tblLook w:val="01E0"/>
    </w:tblPr>
    <w:tblGrid>
      <w:gridCol w:w="10534"/>
    </w:tblGrid>
    <w:tr w:rsidR="007A2B04">
      <w:trPr>
        <w:trHeight w:val="720"/>
      </w:trPr>
      <w:tc>
        <w:tcPr>
          <w:tcW w:w="10534" w:type="dxa"/>
        </w:tcPr>
        <w:p w:rsidR="007A2B04" w:rsidRDefault="007A2B04"/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4" w:type="dxa"/>
      <w:tblLayout w:type="fixed"/>
      <w:tblLook w:val="01E0"/>
    </w:tblPr>
    <w:tblGrid>
      <w:gridCol w:w="10534"/>
    </w:tblGrid>
    <w:tr w:rsidR="007A2B04">
      <w:trPr>
        <w:trHeight w:val="720"/>
      </w:trPr>
      <w:tc>
        <w:tcPr>
          <w:tcW w:w="10534" w:type="dxa"/>
        </w:tcPr>
        <w:p w:rsidR="007A2B04" w:rsidRDefault="007A2B04"/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4" w:type="dxa"/>
      <w:tblLayout w:type="fixed"/>
      <w:tblLook w:val="01E0"/>
    </w:tblPr>
    <w:tblGrid>
      <w:gridCol w:w="10534"/>
    </w:tblGrid>
    <w:tr w:rsidR="007A2B04">
      <w:trPr>
        <w:trHeight w:val="720"/>
      </w:trPr>
      <w:tc>
        <w:tcPr>
          <w:tcW w:w="10534" w:type="dxa"/>
        </w:tcPr>
        <w:p w:rsidR="007A2B04" w:rsidRDefault="007A2B04"/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4" w:type="dxa"/>
      <w:tblLayout w:type="fixed"/>
      <w:tblLook w:val="01E0"/>
    </w:tblPr>
    <w:tblGrid>
      <w:gridCol w:w="10534"/>
    </w:tblGrid>
    <w:tr w:rsidR="007A2B04">
      <w:trPr>
        <w:trHeight w:val="720"/>
      </w:trPr>
      <w:tc>
        <w:tcPr>
          <w:tcW w:w="10534" w:type="dxa"/>
        </w:tcPr>
        <w:p w:rsidR="007A2B04" w:rsidRDefault="007A2B04"/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4" w:type="dxa"/>
      <w:tblLayout w:type="fixed"/>
      <w:tblLook w:val="01E0"/>
    </w:tblPr>
    <w:tblGrid>
      <w:gridCol w:w="10534"/>
    </w:tblGrid>
    <w:tr w:rsidR="007A2B04">
      <w:trPr>
        <w:trHeight w:val="720"/>
      </w:trPr>
      <w:tc>
        <w:tcPr>
          <w:tcW w:w="10534" w:type="dxa"/>
        </w:tcPr>
        <w:p w:rsidR="007A2B04" w:rsidRDefault="007A2B04"/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4" w:type="dxa"/>
      <w:tblLayout w:type="fixed"/>
      <w:tblLook w:val="01E0"/>
    </w:tblPr>
    <w:tblGrid>
      <w:gridCol w:w="10534"/>
    </w:tblGrid>
    <w:tr w:rsidR="007A2B04">
      <w:trPr>
        <w:trHeight w:val="720"/>
      </w:trPr>
      <w:tc>
        <w:tcPr>
          <w:tcW w:w="10534" w:type="dxa"/>
        </w:tcPr>
        <w:p w:rsidR="007A2B04" w:rsidRDefault="007A2B04"/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5F4" w:rsidRDefault="007375F4" w:rsidP="007A2B04">
      <w:r>
        <w:separator/>
      </w:r>
    </w:p>
  </w:footnote>
  <w:footnote w:type="continuationSeparator" w:id="0">
    <w:p w:rsidR="007375F4" w:rsidRDefault="007375F4" w:rsidP="007A2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4" w:type="dxa"/>
      <w:tblLayout w:type="fixed"/>
      <w:tblLook w:val="01E0"/>
    </w:tblPr>
    <w:tblGrid>
      <w:gridCol w:w="10534"/>
    </w:tblGrid>
    <w:tr w:rsidR="007A2B04">
      <w:trPr>
        <w:trHeight w:val="720"/>
      </w:trPr>
      <w:tc>
        <w:tcPr>
          <w:tcW w:w="10534" w:type="dxa"/>
        </w:tcPr>
        <w:p w:rsidR="007A2B04" w:rsidRDefault="007A2B04"/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4" w:type="dxa"/>
      <w:tblLayout w:type="fixed"/>
      <w:tblLook w:val="01E0"/>
    </w:tblPr>
    <w:tblGrid>
      <w:gridCol w:w="10534"/>
    </w:tblGrid>
    <w:tr w:rsidR="007A2B04">
      <w:trPr>
        <w:trHeight w:val="720"/>
      </w:trPr>
      <w:tc>
        <w:tcPr>
          <w:tcW w:w="10534" w:type="dxa"/>
        </w:tcPr>
        <w:p w:rsidR="007A2B04" w:rsidRDefault="007A2B04"/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4" w:type="dxa"/>
      <w:tblLayout w:type="fixed"/>
      <w:tblLook w:val="01E0"/>
    </w:tblPr>
    <w:tblGrid>
      <w:gridCol w:w="10534"/>
    </w:tblGrid>
    <w:tr w:rsidR="007A2B04">
      <w:trPr>
        <w:trHeight w:val="720"/>
      </w:trPr>
      <w:tc>
        <w:tcPr>
          <w:tcW w:w="10534" w:type="dxa"/>
        </w:tcPr>
        <w:p w:rsidR="007A2B04" w:rsidRDefault="007A2B04"/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4" w:type="dxa"/>
      <w:tblLayout w:type="fixed"/>
      <w:tblLook w:val="01E0"/>
    </w:tblPr>
    <w:tblGrid>
      <w:gridCol w:w="10534"/>
    </w:tblGrid>
    <w:tr w:rsidR="007A2B04">
      <w:trPr>
        <w:trHeight w:val="720"/>
      </w:trPr>
      <w:tc>
        <w:tcPr>
          <w:tcW w:w="10534" w:type="dxa"/>
        </w:tcPr>
        <w:p w:rsidR="007A2B04" w:rsidRDefault="007A2B04"/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4" w:type="dxa"/>
      <w:tblLayout w:type="fixed"/>
      <w:tblLook w:val="01E0"/>
    </w:tblPr>
    <w:tblGrid>
      <w:gridCol w:w="10534"/>
    </w:tblGrid>
    <w:tr w:rsidR="007A2B04">
      <w:trPr>
        <w:trHeight w:val="720"/>
      </w:trPr>
      <w:tc>
        <w:tcPr>
          <w:tcW w:w="10534" w:type="dxa"/>
        </w:tcPr>
        <w:p w:rsidR="007A2B04" w:rsidRDefault="007A2B04"/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4" w:type="dxa"/>
      <w:tblLayout w:type="fixed"/>
      <w:tblLook w:val="01E0"/>
    </w:tblPr>
    <w:tblGrid>
      <w:gridCol w:w="10534"/>
    </w:tblGrid>
    <w:tr w:rsidR="007A2B04">
      <w:trPr>
        <w:trHeight w:val="720"/>
      </w:trPr>
      <w:tc>
        <w:tcPr>
          <w:tcW w:w="10534" w:type="dxa"/>
        </w:tcPr>
        <w:p w:rsidR="007A2B04" w:rsidRDefault="007A2B04"/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4" w:type="dxa"/>
      <w:tblLayout w:type="fixed"/>
      <w:tblLook w:val="01E0"/>
    </w:tblPr>
    <w:tblGrid>
      <w:gridCol w:w="10534"/>
    </w:tblGrid>
    <w:tr w:rsidR="007A2B04">
      <w:trPr>
        <w:trHeight w:val="720"/>
      </w:trPr>
      <w:tc>
        <w:tcPr>
          <w:tcW w:w="10534" w:type="dxa"/>
        </w:tcPr>
        <w:p w:rsidR="007A2B04" w:rsidRDefault="007A2B04"/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2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B04"/>
    <w:rsid w:val="00177A33"/>
    <w:rsid w:val="0027183A"/>
    <w:rsid w:val="007375F4"/>
    <w:rsid w:val="007A2B04"/>
    <w:rsid w:val="0088402D"/>
    <w:rsid w:val="009215C9"/>
    <w:rsid w:val="00D96D33"/>
    <w:rsid w:val="00DC430A"/>
    <w:rsid w:val="00E1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A2B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2277</Words>
  <Characters>12982</Characters>
  <Application>Microsoft Office Word</Application>
  <DocSecurity>0</DocSecurity>
  <Lines>108</Lines>
  <Paragraphs>30</Paragraphs>
  <ScaleCrop>false</ScaleCrop>
  <Company>Microsoft</Company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Башмакова</cp:lastModifiedBy>
  <cp:revision>2</cp:revision>
  <dcterms:created xsi:type="dcterms:W3CDTF">2014-03-30T14:50:00Z</dcterms:created>
  <dcterms:modified xsi:type="dcterms:W3CDTF">2014-03-30T14:50:00Z</dcterms:modified>
</cp:coreProperties>
</file>